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6B70" w:rsidRPr="000C6B70" w:rsidRDefault="000C6B70" w:rsidP="000C6B70">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0C6B70">
        <w:rPr>
          <w:rFonts w:ascii="Times New Roman" w:eastAsia="Times New Roman" w:hAnsi="Times New Roman" w:cs="Times New Roman"/>
          <w:b/>
          <w:bCs/>
          <w:sz w:val="36"/>
          <w:szCs w:val="36"/>
          <w:lang w:eastAsia="es-ES"/>
        </w:rPr>
        <w:t>Ignacio Agramonte, el hombre que va a la guerra</w:t>
      </w:r>
    </w:p>
    <w:p w:rsidR="000C6B70" w:rsidRPr="00C728D8" w:rsidRDefault="000C6B70" w:rsidP="00C728D8">
      <w:pPr>
        <w:spacing w:after="0" w:line="240" w:lineRule="auto"/>
        <w:jc w:val="both"/>
        <w:rPr>
          <w:rFonts w:ascii="Arial" w:eastAsia="Times New Roman" w:hAnsi="Arial" w:cs="Arial"/>
          <w:sz w:val="24"/>
          <w:szCs w:val="24"/>
          <w:lang w:eastAsia="es-ES"/>
        </w:rPr>
      </w:pPr>
      <w:r w:rsidRPr="00C728D8">
        <w:rPr>
          <w:rFonts w:ascii="Arial" w:eastAsia="Times New Roman" w:hAnsi="Arial" w:cs="Arial"/>
          <w:b/>
          <w:bCs/>
          <w:sz w:val="24"/>
          <w:szCs w:val="24"/>
          <w:lang w:eastAsia="es-ES"/>
        </w:rPr>
        <w:t xml:space="preserve">Por: </w:t>
      </w:r>
      <w:hyperlink r:id="rId4" w:tooltip="Ver todos los artículos de Elda Esther Cento Gómez" w:history="1">
        <w:r w:rsidRPr="00C728D8">
          <w:rPr>
            <w:rFonts w:ascii="Arial" w:eastAsia="Times New Roman" w:hAnsi="Arial" w:cs="Arial"/>
            <w:sz w:val="24"/>
            <w:szCs w:val="24"/>
            <w:lang w:eastAsia="es-ES"/>
          </w:rPr>
          <w:t xml:space="preserve">Elda Esther </w:t>
        </w:r>
        <w:proofErr w:type="spellStart"/>
        <w:r w:rsidRPr="00C728D8">
          <w:rPr>
            <w:rFonts w:ascii="Arial" w:eastAsia="Times New Roman" w:hAnsi="Arial" w:cs="Arial"/>
            <w:sz w:val="24"/>
            <w:szCs w:val="24"/>
            <w:lang w:eastAsia="es-ES"/>
          </w:rPr>
          <w:t>Cento</w:t>
        </w:r>
        <w:proofErr w:type="spellEnd"/>
        <w:r w:rsidRPr="00C728D8">
          <w:rPr>
            <w:rFonts w:ascii="Arial" w:eastAsia="Times New Roman" w:hAnsi="Arial" w:cs="Arial"/>
            <w:sz w:val="24"/>
            <w:szCs w:val="24"/>
            <w:lang w:eastAsia="es-ES"/>
          </w:rPr>
          <w:t xml:space="preserve"> Gómez</w:t>
        </w:r>
      </w:hyperlink>
      <w:r w:rsidRPr="00C728D8">
        <w:rPr>
          <w:rFonts w:ascii="Arial" w:eastAsia="Times New Roman" w:hAnsi="Arial" w:cs="Arial"/>
          <w:sz w:val="24"/>
          <w:szCs w:val="24"/>
          <w:lang w:eastAsia="es-ES"/>
        </w:rPr>
        <w:t xml:space="preserve"> </w:t>
      </w:r>
    </w:p>
    <w:p w:rsidR="000C6B70" w:rsidRPr="00C728D8" w:rsidRDefault="000C6B70" w:rsidP="00C728D8">
      <w:pPr>
        <w:spacing w:after="0" w:line="240" w:lineRule="auto"/>
        <w:jc w:val="both"/>
        <w:rPr>
          <w:rFonts w:ascii="Arial" w:eastAsia="Times New Roman" w:hAnsi="Arial" w:cs="Arial"/>
          <w:sz w:val="24"/>
          <w:szCs w:val="24"/>
          <w:lang w:eastAsia="es-ES"/>
        </w:rPr>
      </w:pPr>
      <w:r w:rsidRPr="00C728D8">
        <w:rPr>
          <w:rFonts w:ascii="Arial" w:eastAsia="Times New Roman" w:hAnsi="Arial" w:cs="Arial"/>
          <w:sz w:val="24"/>
          <w:szCs w:val="24"/>
          <w:lang w:eastAsia="es-ES"/>
        </w:rPr>
        <w:t xml:space="preserve">6 mayo 2016 </w:t>
      </w:r>
    </w:p>
    <w:p w:rsidR="000C6B70" w:rsidRPr="00C728D8" w:rsidRDefault="000C6B70" w:rsidP="00C728D8">
      <w:pPr>
        <w:spacing w:after="0" w:line="240" w:lineRule="auto"/>
        <w:jc w:val="both"/>
        <w:rPr>
          <w:rFonts w:ascii="Arial" w:eastAsia="Times New Roman" w:hAnsi="Arial" w:cs="Arial"/>
          <w:sz w:val="24"/>
          <w:szCs w:val="24"/>
          <w:lang w:eastAsia="es-ES"/>
        </w:rPr>
      </w:pPr>
    </w:p>
    <w:p w:rsidR="000C6B70" w:rsidRPr="00C728D8" w:rsidRDefault="00202D6A" w:rsidP="00C728D8">
      <w:pPr>
        <w:spacing w:before="100" w:beforeAutospacing="1" w:after="100" w:afterAutospacing="1"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w:t>
      </w:r>
      <w:r w:rsidR="004A683E">
        <w:rPr>
          <w:rFonts w:ascii="Arial" w:eastAsia="Times New Roman" w:hAnsi="Arial" w:cs="Arial"/>
          <w:sz w:val="24"/>
          <w:szCs w:val="24"/>
          <w:lang w:eastAsia="es-ES"/>
        </w:rPr>
        <w:t xml:space="preserve"> </w:t>
      </w:r>
      <w:r w:rsidR="000C6B70" w:rsidRPr="00C728D8">
        <w:rPr>
          <w:rFonts w:ascii="Arial" w:eastAsia="Times New Roman" w:hAnsi="Arial" w:cs="Arial"/>
          <w:sz w:val="24"/>
          <w:szCs w:val="24"/>
          <w:lang w:eastAsia="es-ES"/>
        </w:rPr>
        <w:t xml:space="preserve">No creo que en el discurso historiográfico cubano exista otra personalidad más paradigmática - </w:t>
      </w:r>
      <w:r w:rsidR="000C6B70" w:rsidRPr="00C728D8">
        <w:rPr>
          <w:rFonts w:ascii="Arial" w:eastAsia="Times New Roman" w:hAnsi="Arial" w:cs="Arial"/>
          <w:i/>
          <w:iCs/>
          <w:sz w:val="24"/>
          <w:szCs w:val="24"/>
          <w:lang w:eastAsia="es-ES"/>
        </w:rPr>
        <w:t>en tanto conjunción de rasgos positivos</w:t>
      </w:r>
      <w:r w:rsidR="000C6B70" w:rsidRPr="00C728D8">
        <w:rPr>
          <w:rFonts w:ascii="Arial" w:eastAsia="Times New Roman" w:hAnsi="Arial" w:cs="Arial"/>
          <w:sz w:val="24"/>
          <w:szCs w:val="24"/>
          <w:lang w:eastAsia="es-ES"/>
        </w:rPr>
        <w:t xml:space="preserve"> -, que la del Bayardo camagüeyano y empleo este apelativo, en alguna ocasión cuestionado, por aquello de “caballero sin miedo y sin tacha”. En realidad, Ignacio alcanzó a vivir tan poco tiempo - </w:t>
      </w:r>
      <w:r w:rsidR="000C6B70" w:rsidRPr="00C728D8">
        <w:rPr>
          <w:rFonts w:ascii="Arial" w:eastAsia="Times New Roman" w:hAnsi="Arial" w:cs="Arial"/>
          <w:i/>
          <w:iCs/>
          <w:sz w:val="24"/>
          <w:szCs w:val="24"/>
          <w:lang w:eastAsia="es-ES"/>
        </w:rPr>
        <w:t>y por demás la muerte lo alcanzó en plena gloria</w:t>
      </w:r>
      <w:r w:rsidR="000C6B70" w:rsidRPr="00C728D8">
        <w:rPr>
          <w:rFonts w:ascii="Arial" w:eastAsia="Times New Roman" w:hAnsi="Arial" w:cs="Arial"/>
          <w:sz w:val="24"/>
          <w:szCs w:val="24"/>
          <w:lang w:eastAsia="es-ES"/>
        </w:rPr>
        <w:t xml:space="preserve"> -, que es difícil hallar sombras en su vida, lo cual no implica el olvido de que, como todo hombre, ascendió sus escalas. Dominar un carácter susceptible, impulsivo y apasionado, fue tal vez uno de sus mayores retos. Pocos como José Martí para comprenderlo, y así se aprecia cuando escribió que Agramonte con la guerra, había domado “de la primera embestida la soberbia natural”; para concluir que acaso no hubiera existido “</w:t>
      </w:r>
      <w:r w:rsidR="000C6B70" w:rsidRPr="00C728D8">
        <w:rPr>
          <w:rFonts w:ascii="Arial" w:eastAsia="Times New Roman" w:hAnsi="Arial" w:cs="Arial"/>
          <w:i/>
          <w:iCs/>
          <w:sz w:val="24"/>
          <w:szCs w:val="24"/>
          <w:lang w:eastAsia="es-ES"/>
        </w:rPr>
        <w:t>otro hombre que en grado semejante haya sometido en horas de tumulto su autoridad natural a la de la patria!</w:t>
      </w:r>
      <w:r w:rsidR="000C6B70" w:rsidRPr="00C728D8">
        <w:rPr>
          <w:rFonts w:ascii="Arial" w:eastAsia="Times New Roman" w:hAnsi="Arial" w:cs="Arial"/>
          <w:sz w:val="24"/>
          <w:szCs w:val="24"/>
          <w:lang w:eastAsia="es-ES"/>
        </w:rPr>
        <w:t xml:space="preserve">” </w:t>
      </w:r>
      <w:hyperlink r:id="rId5" w:anchor="cita1" w:tgtFrame="_blank" w:history="1">
        <w:r w:rsidR="000C6B70" w:rsidRPr="00C728D8">
          <w:rPr>
            <w:rFonts w:ascii="Arial" w:eastAsia="Times New Roman" w:hAnsi="Arial" w:cs="Arial"/>
            <w:color w:val="0000FF"/>
            <w:sz w:val="24"/>
            <w:szCs w:val="24"/>
            <w:u w:val="single"/>
            <w:lang w:eastAsia="es-ES"/>
          </w:rPr>
          <w:t>[1]</w:t>
        </w:r>
      </w:hyperlink>
      <w:r w:rsidR="000C6B70" w:rsidRPr="00C728D8">
        <w:rPr>
          <w:rFonts w:ascii="Arial" w:eastAsia="Times New Roman" w:hAnsi="Arial" w:cs="Arial"/>
          <w:sz w:val="24"/>
          <w:szCs w:val="24"/>
          <w:lang w:eastAsia="es-ES"/>
        </w:rPr>
        <w:t>. En esa lucha consigo mismo reside uno de los más sólidos pilares de su ejemplaridad, no expuesto todo lo necesario en los textos dedicados a su figura, muchos de ellos en el sutil límite de la apología de una vida que tuvo, es innegable, todas las condiciones para ser su objeto.</w:t>
      </w:r>
    </w:p>
    <w:p w:rsidR="000C6B70" w:rsidRPr="00C728D8" w:rsidRDefault="000C6B70" w:rsidP="00C728D8">
      <w:pPr>
        <w:spacing w:before="100" w:beforeAutospacing="1" w:after="100" w:afterAutospacing="1" w:line="240" w:lineRule="auto"/>
        <w:jc w:val="both"/>
        <w:rPr>
          <w:rFonts w:ascii="Arial" w:eastAsia="Times New Roman" w:hAnsi="Arial" w:cs="Arial"/>
          <w:sz w:val="24"/>
          <w:szCs w:val="24"/>
          <w:lang w:eastAsia="es-ES"/>
        </w:rPr>
      </w:pPr>
      <w:r w:rsidRPr="00C728D8">
        <w:rPr>
          <w:rFonts w:ascii="Arial" w:eastAsia="Times New Roman" w:hAnsi="Arial" w:cs="Arial"/>
          <w:sz w:val="24"/>
          <w:szCs w:val="24"/>
          <w:lang w:eastAsia="es-ES"/>
        </w:rPr>
        <w:t xml:space="preserve">Cualquier acercamiento a la personalidad del héroe camagüeyano debe explorar sus orígenes familiares marcados por dos rasgos claves, eran criollos - </w:t>
      </w:r>
      <w:r w:rsidRPr="00C728D8">
        <w:rPr>
          <w:rFonts w:ascii="Arial" w:eastAsia="Times New Roman" w:hAnsi="Arial" w:cs="Arial"/>
          <w:i/>
          <w:iCs/>
          <w:sz w:val="24"/>
          <w:szCs w:val="24"/>
          <w:lang w:eastAsia="es-ES"/>
        </w:rPr>
        <w:t>camagüeyanos en particular</w:t>
      </w:r>
      <w:r w:rsidRPr="00C728D8">
        <w:rPr>
          <w:rFonts w:ascii="Arial" w:eastAsia="Times New Roman" w:hAnsi="Arial" w:cs="Arial"/>
          <w:sz w:val="24"/>
          <w:szCs w:val="24"/>
          <w:lang w:eastAsia="es-ES"/>
        </w:rPr>
        <w:t xml:space="preserve"> - y adinerados, aunque sepamos que en vísperas de la guerra las bolsas paternas no estaban tan holgadas como antaño.</w:t>
      </w:r>
      <w:r w:rsidRPr="00C728D8">
        <w:rPr>
          <w:rFonts w:ascii="Arial" w:eastAsia="Times New Roman" w:hAnsi="Arial" w:cs="Arial"/>
          <w:sz w:val="24"/>
          <w:szCs w:val="24"/>
          <w:lang w:eastAsia="es-ES"/>
        </w:rPr>
        <w:br/>
        <w:t xml:space="preserve">Europa y España eran para sus mayores, un referente en las historias familiares. Los Agramonte ya llevaban ocho generaciones en Cuba y los </w:t>
      </w:r>
      <w:proofErr w:type="spellStart"/>
      <w:r w:rsidRPr="00C728D8">
        <w:rPr>
          <w:rFonts w:ascii="Arial" w:eastAsia="Times New Roman" w:hAnsi="Arial" w:cs="Arial"/>
          <w:sz w:val="24"/>
          <w:szCs w:val="24"/>
          <w:lang w:eastAsia="es-ES"/>
        </w:rPr>
        <w:t>Loynaz</w:t>
      </w:r>
      <w:proofErr w:type="spellEnd"/>
      <w:r w:rsidRPr="00C728D8">
        <w:rPr>
          <w:rFonts w:ascii="Arial" w:eastAsia="Times New Roman" w:hAnsi="Arial" w:cs="Arial"/>
          <w:sz w:val="24"/>
          <w:szCs w:val="24"/>
          <w:lang w:eastAsia="es-ES"/>
        </w:rPr>
        <w:t xml:space="preserve">, cinco. Emparentados para la fecha con los más importantes apellidos de la ciudad: Miranda, Recio, Zayas Bazán, de la Torre, Agüero, Duque Estrada, Bringas, entre otros; formaban parte de ese complejo fenómeno socio cultural identificado como el </w:t>
      </w:r>
      <w:r w:rsidRPr="00C728D8">
        <w:rPr>
          <w:rFonts w:ascii="Arial" w:eastAsia="Times New Roman" w:hAnsi="Arial" w:cs="Arial"/>
          <w:i/>
          <w:iCs/>
          <w:sz w:val="24"/>
          <w:szCs w:val="24"/>
          <w:lang w:eastAsia="es-ES"/>
        </w:rPr>
        <w:t>patriciado camagüeyano</w:t>
      </w:r>
      <w:r w:rsidRPr="00C728D8">
        <w:rPr>
          <w:rFonts w:ascii="Arial" w:eastAsia="Times New Roman" w:hAnsi="Arial" w:cs="Arial"/>
          <w:sz w:val="24"/>
          <w:szCs w:val="24"/>
          <w:lang w:eastAsia="es-ES"/>
        </w:rPr>
        <w:t>. Las redes familiares, junto a haciendas y profesiones, les habían permitido labrar fortunas y ocupar importantes responsabilidades públicas. Varios fueron abogados y el padre de Ignacio alcanzó el título honorífico de Regidor Fiel Ejecutor del Ayuntamiento de Puerto Príncipe.</w:t>
      </w:r>
    </w:p>
    <w:p w:rsidR="000C6B70" w:rsidRPr="00C728D8" w:rsidRDefault="000C6B70" w:rsidP="00C728D8">
      <w:pPr>
        <w:spacing w:before="100" w:beforeAutospacing="1" w:after="100" w:afterAutospacing="1" w:line="240" w:lineRule="auto"/>
        <w:jc w:val="both"/>
        <w:rPr>
          <w:rFonts w:ascii="Arial" w:eastAsia="Times New Roman" w:hAnsi="Arial" w:cs="Arial"/>
          <w:sz w:val="24"/>
          <w:szCs w:val="24"/>
          <w:lang w:eastAsia="es-ES"/>
        </w:rPr>
      </w:pPr>
      <w:r w:rsidRPr="00C728D8">
        <w:rPr>
          <w:rFonts w:ascii="Arial" w:eastAsia="Times New Roman" w:hAnsi="Arial" w:cs="Arial"/>
          <w:sz w:val="24"/>
          <w:szCs w:val="24"/>
          <w:lang w:eastAsia="es-ES"/>
        </w:rPr>
        <w:t xml:space="preserve">La casa natal del héroe - </w:t>
      </w:r>
      <w:r w:rsidRPr="00C728D8">
        <w:rPr>
          <w:rFonts w:ascii="Arial" w:eastAsia="Times New Roman" w:hAnsi="Arial" w:cs="Arial"/>
          <w:i/>
          <w:iCs/>
          <w:sz w:val="24"/>
          <w:szCs w:val="24"/>
          <w:lang w:eastAsia="es-ES"/>
        </w:rPr>
        <w:t>marcada entonces con el número 5 de la calle Soledad</w:t>
      </w:r>
      <w:r w:rsidRPr="00C728D8">
        <w:rPr>
          <w:rFonts w:ascii="Arial" w:eastAsia="Times New Roman" w:hAnsi="Arial" w:cs="Arial"/>
          <w:sz w:val="24"/>
          <w:szCs w:val="24"/>
          <w:lang w:eastAsia="es-ES"/>
        </w:rPr>
        <w:t xml:space="preserve"> - continúa siendo el mejor argumento del linaje familiar. En una ciudad cuyo centro histórico se destaca por la irregularidad de su trama y edificaciones de una sola planta, la enorme casona esquinera de dos plantas, entrepiso, patio central con tinajones y escudo de armas en la fachada sobresale no solamente entre los inmuebles circundantes.</w:t>
      </w:r>
    </w:p>
    <w:p w:rsidR="000C6B70" w:rsidRPr="00C728D8" w:rsidRDefault="000C6B70" w:rsidP="00C728D8">
      <w:pPr>
        <w:spacing w:before="100" w:beforeAutospacing="1" w:after="100" w:afterAutospacing="1" w:line="240" w:lineRule="auto"/>
        <w:jc w:val="both"/>
        <w:rPr>
          <w:rFonts w:ascii="Arial" w:eastAsia="Times New Roman" w:hAnsi="Arial" w:cs="Arial"/>
          <w:sz w:val="24"/>
          <w:szCs w:val="24"/>
          <w:lang w:eastAsia="es-ES"/>
        </w:rPr>
      </w:pPr>
      <w:r w:rsidRPr="00C728D8">
        <w:rPr>
          <w:rFonts w:ascii="Arial" w:eastAsia="Times New Roman" w:hAnsi="Arial" w:cs="Arial"/>
          <w:sz w:val="24"/>
          <w:szCs w:val="24"/>
          <w:lang w:eastAsia="es-ES"/>
        </w:rPr>
        <w:t>La familia Agramonte-</w:t>
      </w:r>
      <w:proofErr w:type="spellStart"/>
      <w:r w:rsidRPr="00C728D8">
        <w:rPr>
          <w:rFonts w:ascii="Arial" w:eastAsia="Times New Roman" w:hAnsi="Arial" w:cs="Arial"/>
          <w:sz w:val="24"/>
          <w:szCs w:val="24"/>
          <w:lang w:eastAsia="es-ES"/>
        </w:rPr>
        <w:t>Loynaz</w:t>
      </w:r>
      <w:proofErr w:type="spellEnd"/>
      <w:r w:rsidRPr="00C728D8">
        <w:rPr>
          <w:rFonts w:ascii="Arial" w:eastAsia="Times New Roman" w:hAnsi="Arial" w:cs="Arial"/>
          <w:sz w:val="24"/>
          <w:szCs w:val="24"/>
          <w:lang w:eastAsia="es-ES"/>
        </w:rPr>
        <w:t xml:space="preserve"> debió ser la típica familia cubana, “</w:t>
      </w:r>
      <w:r w:rsidRPr="00C728D8">
        <w:rPr>
          <w:rFonts w:ascii="Arial" w:eastAsia="Times New Roman" w:hAnsi="Arial" w:cs="Arial"/>
          <w:i/>
          <w:iCs/>
          <w:sz w:val="24"/>
          <w:szCs w:val="24"/>
          <w:lang w:eastAsia="es-ES"/>
        </w:rPr>
        <w:t xml:space="preserve">verdadero taller en que toma parte activa, con sus trabajos y sus pasiones, el cabeza de familia, la esposa-madre —el alma de la casa— los hijos que comienzan a despuntar, los </w:t>
      </w:r>
      <w:r w:rsidRPr="00C728D8">
        <w:rPr>
          <w:rFonts w:ascii="Arial" w:eastAsia="Times New Roman" w:hAnsi="Arial" w:cs="Arial"/>
          <w:i/>
          <w:iCs/>
          <w:sz w:val="24"/>
          <w:szCs w:val="24"/>
          <w:lang w:eastAsia="es-ES"/>
        </w:rPr>
        <w:lastRenderedPageBreak/>
        <w:t>amigos, los socios y parientes</w:t>
      </w:r>
      <w:r w:rsidRPr="00C728D8">
        <w:rPr>
          <w:rFonts w:ascii="Arial" w:eastAsia="Times New Roman" w:hAnsi="Arial" w:cs="Arial"/>
          <w:sz w:val="24"/>
          <w:szCs w:val="24"/>
          <w:lang w:eastAsia="es-ES"/>
        </w:rPr>
        <w:t xml:space="preserve">” </w:t>
      </w:r>
      <w:hyperlink r:id="rId6" w:anchor="cita2" w:tgtFrame="_blank" w:history="1">
        <w:r w:rsidRPr="00C728D8">
          <w:rPr>
            <w:rFonts w:ascii="Arial" w:eastAsia="Times New Roman" w:hAnsi="Arial" w:cs="Arial"/>
            <w:color w:val="0000FF"/>
            <w:sz w:val="24"/>
            <w:szCs w:val="24"/>
            <w:u w:val="single"/>
            <w:lang w:eastAsia="es-ES"/>
          </w:rPr>
          <w:t>[2]</w:t>
        </w:r>
      </w:hyperlink>
      <w:r w:rsidRPr="00C728D8">
        <w:rPr>
          <w:rFonts w:ascii="Arial" w:eastAsia="Times New Roman" w:hAnsi="Arial" w:cs="Arial"/>
          <w:sz w:val="24"/>
          <w:szCs w:val="24"/>
          <w:lang w:eastAsia="es-ES"/>
        </w:rPr>
        <w:t xml:space="preserve">. De la descendencia del matrimonio Agramonte </w:t>
      </w:r>
      <w:proofErr w:type="spellStart"/>
      <w:r w:rsidRPr="00C728D8">
        <w:rPr>
          <w:rFonts w:ascii="Arial" w:eastAsia="Times New Roman" w:hAnsi="Arial" w:cs="Arial"/>
          <w:sz w:val="24"/>
          <w:szCs w:val="24"/>
          <w:lang w:eastAsia="es-ES"/>
        </w:rPr>
        <w:t>Loynaz</w:t>
      </w:r>
      <w:proofErr w:type="spellEnd"/>
      <w:r w:rsidRPr="00C728D8">
        <w:rPr>
          <w:rFonts w:ascii="Arial" w:eastAsia="Times New Roman" w:hAnsi="Arial" w:cs="Arial"/>
          <w:sz w:val="24"/>
          <w:szCs w:val="24"/>
          <w:lang w:eastAsia="es-ES"/>
        </w:rPr>
        <w:t>, solo cuatro llegaron a la mayoría de edad: Ignacio, Enrique, Francisca y Loreto. A sus hermanos Enrique y Panchita lo unieron especiales lazos de afecto, tanto, que en su época de estudiantes en La Habana ejerció sobre el primero, al que apenas le llevaba dos años, una tutela casi paternal.</w:t>
      </w:r>
    </w:p>
    <w:p w:rsidR="000C6B70" w:rsidRPr="00C728D8" w:rsidRDefault="000C6B70" w:rsidP="00C728D8">
      <w:pPr>
        <w:spacing w:before="100" w:beforeAutospacing="1" w:after="100" w:afterAutospacing="1" w:line="240" w:lineRule="auto"/>
        <w:jc w:val="both"/>
        <w:rPr>
          <w:rFonts w:ascii="Arial" w:eastAsia="Times New Roman" w:hAnsi="Arial" w:cs="Arial"/>
          <w:sz w:val="24"/>
          <w:szCs w:val="24"/>
          <w:lang w:eastAsia="es-ES"/>
        </w:rPr>
      </w:pPr>
      <w:r w:rsidRPr="00C728D8">
        <w:rPr>
          <w:rFonts w:ascii="Arial" w:eastAsia="Times New Roman" w:hAnsi="Arial" w:cs="Arial"/>
          <w:sz w:val="24"/>
          <w:szCs w:val="24"/>
          <w:lang w:eastAsia="es-ES"/>
        </w:rPr>
        <w:t xml:space="preserve">En su ciudad natal recibió la mejor educación que podía lograrse en ella, pero en 1851, siguiendo una práctica muy extendida entre los lugareños, sus padres decidieron enviarlo a estudiar al extranjero. Eligieron Barcelona. Tenía apenas 10 años, regresará en 1857 y matriculará casi de inmediato en la Universidad de La Habana. Por fuerza tuvo que aprender a valerse por </w:t>
      </w:r>
      <w:r w:rsidR="004A683E" w:rsidRPr="00C728D8">
        <w:rPr>
          <w:rFonts w:ascii="Arial" w:eastAsia="Times New Roman" w:hAnsi="Arial" w:cs="Arial"/>
          <w:sz w:val="24"/>
          <w:szCs w:val="24"/>
          <w:lang w:eastAsia="es-ES"/>
        </w:rPr>
        <w:t>sí</w:t>
      </w:r>
      <w:r w:rsidRPr="00C728D8">
        <w:rPr>
          <w:rFonts w:ascii="Arial" w:eastAsia="Times New Roman" w:hAnsi="Arial" w:cs="Arial"/>
          <w:sz w:val="24"/>
          <w:szCs w:val="24"/>
          <w:lang w:eastAsia="es-ES"/>
        </w:rPr>
        <w:t xml:space="preserve"> mismo, en íntima camaradería con condiscípulos pertenecientes a una generación “</w:t>
      </w:r>
      <w:r w:rsidRPr="00C728D8">
        <w:rPr>
          <w:rFonts w:ascii="Arial" w:eastAsia="Times New Roman" w:hAnsi="Arial" w:cs="Arial"/>
          <w:i/>
          <w:iCs/>
          <w:sz w:val="24"/>
          <w:szCs w:val="24"/>
          <w:lang w:eastAsia="es-ES"/>
        </w:rPr>
        <w:t>modelada en buena parte en plena adolescencia y frescura juvenil, por la influencia de los grandes cambios producidos en el mundo a partir de la gran conmoción europea y mundial de 1848</w:t>
      </w:r>
      <w:r w:rsidRPr="00C728D8">
        <w:rPr>
          <w:rFonts w:ascii="Arial" w:eastAsia="Times New Roman" w:hAnsi="Arial" w:cs="Arial"/>
          <w:sz w:val="24"/>
          <w:szCs w:val="24"/>
          <w:lang w:eastAsia="es-ES"/>
        </w:rPr>
        <w:t xml:space="preserve">”. </w:t>
      </w:r>
      <w:hyperlink r:id="rId7" w:anchor="cita3" w:tgtFrame="_blank" w:history="1">
        <w:r w:rsidRPr="00C728D8">
          <w:rPr>
            <w:rFonts w:ascii="Arial" w:eastAsia="Times New Roman" w:hAnsi="Arial" w:cs="Arial"/>
            <w:color w:val="0000FF"/>
            <w:sz w:val="24"/>
            <w:szCs w:val="24"/>
            <w:u w:val="single"/>
            <w:lang w:eastAsia="es-ES"/>
          </w:rPr>
          <w:t>[3]</w:t>
        </w:r>
      </w:hyperlink>
    </w:p>
    <w:p w:rsidR="000C6B70" w:rsidRPr="00C728D8" w:rsidRDefault="000C6B70" w:rsidP="00C728D8">
      <w:pPr>
        <w:spacing w:before="100" w:beforeAutospacing="1" w:after="100" w:afterAutospacing="1" w:line="240" w:lineRule="auto"/>
        <w:jc w:val="both"/>
        <w:rPr>
          <w:rFonts w:ascii="Arial" w:eastAsia="Times New Roman" w:hAnsi="Arial" w:cs="Arial"/>
          <w:sz w:val="24"/>
          <w:szCs w:val="24"/>
          <w:lang w:eastAsia="es-ES"/>
        </w:rPr>
      </w:pPr>
      <w:r w:rsidRPr="00C728D8">
        <w:rPr>
          <w:rFonts w:ascii="Arial" w:eastAsia="Times New Roman" w:hAnsi="Arial" w:cs="Arial"/>
          <w:sz w:val="24"/>
          <w:szCs w:val="24"/>
          <w:lang w:eastAsia="es-ES"/>
        </w:rPr>
        <w:t xml:space="preserve">Las escasas fotos conservadas de Agramonte nos comprueban las descripciones hechas por quienes lo conocieron. A una presencia física de varonil belleza se añadía el ser muy pulcro en el vestir y en sus modales. </w:t>
      </w:r>
      <w:hyperlink r:id="rId8" w:tgtFrame="_blank" w:tooltip="Aurelia Castillo" w:history="1">
        <w:r w:rsidRPr="004A683E">
          <w:rPr>
            <w:rFonts w:ascii="Arial" w:eastAsia="Times New Roman" w:hAnsi="Arial" w:cs="Arial"/>
            <w:sz w:val="24"/>
            <w:szCs w:val="24"/>
            <w:lang w:eastAsia="es-ES"/>
          </w:rPr>
          <w:t>Aurelia Castillo</w:t>
        </w:r>
      </w:hyperlink>
      <w:r w:rsidRPr="00C728D8">
        <w:rPr>
          <w:rFonts w:ascii="Arial" w:eastAsia="Times New Roman" w:hAnsi="Arial" w:cs="Arial"/>
          <w:sz w:val="24"/>
          <w:szCs w:val="24"/>
          <w:lang w:eastAsia="es-ES"/>
        </w:rPr>
        <w:t xml:space="preserve"> diría que se distinguía por </w:t>
      </w:r>
      <w:r w:rsidRPr="00C728D8">
        <w:rPr>
          <w:rFonts w:ascii="Arial" w:eastAsia="Times New Roman" w:hAnsi="Arial" w:cs="Arial"/>
          <w:i/>
          <w:iCs/>
          <w:sz w:val="24"/>
          <w:szCs w:val="24"/>
          <w:lang w:eastAsia="es-ES"/>
        </w:rPr>
        <w:t xml:space="preserve">“su educación esmeradísima, por su trato respetuoso, por su seriedad”, resaltando como nunca permitió que “ni la sombra de una mancha […] pasase sobre el limpísimo cristal de su honor”, actitud que lo llevó a retar a duelo a personas que consideraba habían ofendido su dignidad; tenía en fin, —recuerda </w:t>
      </w:r>
      <w:hyperlink r:id="rId9" w:tgtFrame="_blank" w:tooltip="Ramón Roa" w:history="1">
        <w:r w:rsidRPr="004A683E">
          <w:rPr>
            <w:rFonts w:ascii="Arial" w:eastAsia="Times New Roman" w:hAnsi="Arial" w:cs="Arial"/>
            <w:i/>
            <w:iCs/>
            <w:sz w:val="24"/>
            <w:szCs w:val="24"/>
            <w:lang w:eastAsia="es-ES"/>
          </w:rPr>
          <w:t>Ramón Roa</w:t>
        </w:r>
      </w:hyperlink>
      <w:r w:rsidRPr="00C728D8">
        <w:rPr>
          <w:rFonts w:ascii="Arial" w:eastAsia="Times New Roman" w:hAnsi="Arial" w:cs="Arial"/>
          <w:i/>
          <w:iCs/>
          <w:sz w:val="24"/>
          <w:szCs w:val="24"/>
          <w:lang w:eastAsia="es-ES"/>
        </w:rPr>
        <w:t>—, un carácter de “</w:t>
      </w:r>
      <w:proofErr w:type="spellStart"/>
      <w:r w:rsidRPr="00C728D8">
        <w:rPr>
          <w:rFonts w:ascii="Arial" w:eastAsia="Times New Roman" w:hAnsi="Arial" w:cs="Arial"/>
          <w:i/>
          <w:iCs/>
          <w:sz w:val="24"/>
          <w:szCs w:val="24"/>
          <w:lang w:eastAsia="es-ES"/>
        </w:rPr>
        <w:t>ignescente</w:t>
      </w:r>
      <w:proofErr w:type="spellEnd"/>
      <w:r w:rsidRPr="00C728D8">
        <w:rPr>
          <w:rFonts w:ascii="Arial" w:eastAsia="Times New Roman" w:hAnsi="Arial" w:cs="Arial"/>
          <w:i/>
          <w:iCs/>
          <w:sz w:val="24"/>
          <w:szCs w:val="24"/>
          <w:lang w:eastAsia="es-ES"/>
        </w:rPr>
        <w:t xml:space="preserve"> susceptibilidad […] que de recto saltaba </w:t>
      </w:r>
      <w:proofErr w:type="spellStart"/>
      <w:r w:rsidRPr="00C728D8">
        <w:rPr>
          <w:rFonts w:ascii="Arial" w:eastAsia="Times New Roman" w:hAnsi="Arial" w:cs="Arial"/>
          <w:i/>
          <w:iCs/>
          <w:sz w:val="24"/>
          <w:szCs w:val="24"/>
          <w:lang w:eastAsia="es-ES"/>
        </w:rPr>
        <w:t>á</w:t>
      </w:r>
      <w:proofErr w:type="spellEnd"/>
      <w:r w:rsidRPr="00C728D8">
        <w:rPr>
          <w:rFonts w:ascii="Arial" w:eastAsia="Times New Roman" w:hAnsi="Arial" w:cs="Arial"/>
          <w:i/>
          <w:iCs/>
          <w:sz w:val="24"/>
          <w:szCs w:val="24"/>
          <w:lang w:eastAsia="es-ES"/>
        </w:rPr>
        <w:t xml:space="preserve"> lo impulsivo</w:t>
      </w:r>
      <w:r w:rsidRPr="00C728D8">
        <w:rPr>
          <w:rFonts w:ascii="Arial" w:eastAsia="Times New Roman" w:hAnsi="Arial" w:cs="Arial"/>
          <w:sz w:val="24"/>
          <w:szCs w:val="24"/>
          <w:lang w:eastAsia="es-ES"/>
        </w:rPr>
        <w:t xml:space="preserve">” </w:t>
      </w:r>
      <w:hyperlink r:id="rId10" w:anchor="cita5" w:tgtFrame="_blank" w:history="1">
        <w:r w:rsidRPr="00C728D8">
          <w:rPr>
            <w:rFonts w:ascii="Arial" w:eastAsia="Times New Roman" w:hAnsi="Arial" w:cs="Arial"/>
            <w:color w:val="0000FF"/>
            <w:sz w:val="24"/>
            <w:szCs w:val="24"/>
            <w:u w:val="single"/>
            <w:lang w:eastAsia="es-ES"/>
          </w:rPr>
          <w:t>[5]</w:t>
        </w:r>
      </w:hyperlink>
      <w:r w:rsidRPr="00C728D8">
        <w:rPr>
          <w:rFonts w:ascii="Arial" w:eastAsia="Times New Roman" w:hAnsi="Arial" w:cs="Arial"/>
          <w:sz w:val="24"/>
          <w:szCs w:val="24"/>
          <w:lang w:eastAsia="es-ES"/>
        </w:rPr>
        <w:t>. Y como si fuera poco, dotes de orador, facilidad de palabra como diríamos ahora. Pensar que llevaba sobre los hombros la mezcla de apellido, presencia física, inteligencia y educación, que tantos petimetres ha creado. ¿Habrá pasado nuestro Ignacio, inadvertido en alguna ocasión? Difícil. Algo de ello debió intuir Martí para escribir que “</w:t>
      </w:r>
      <w:r w:rsidRPr="00C728D8">
        <w:rPr>
          <w:rFonts w:ascii="Arial" w:eastAsia="Times New Roman" w:hAnsi="Arial" w:cs="Arial"/>
          <w:i/>
          <w:iCs/>
          <w:sz w:val="24"/>
          <w:szCs w:val="24"/>
          <w:lang w:eastAsia="es-ES"/>
        </w:rPr>
        <w:t>a los pocos días de llegar al Camagüey, la Audiencia lo visita, pasmada de tanta autoridad y moderación en abogado tan joven; y por las calles dicen: «¡ése!»; y se siente la presencia de una majestad […]”</w:t>
      </w:r>
      <w:r w:rsidRPr="00C728D8">
        <w:rPr>
          <w:rFonts w:ascii="Arial" w:eastAsia="Times New Roman" w:hAnsi="Arial" w:cs="Arial"/>
          <w:sz w:val="24"/>
          <w:szCs w:val="24"/>
          <w:lang w:eastAsia="es-ES"/>
        </w:rPr>
        <w:t xml:space="preserve">. </w:t>
      </w:r>
      <w:hyperlink r:id="rId11" w:anchor="cita6" w:tgtFrame="_blank" w:history="1">
        <w:r w:rsidRPr="00C728D8">
          <w:rPr>
            <w:rFonts w:ascii="Arial" w:eastAsia="Times New Roman" w:hAnsi="Arial" w:cs="Arial"/>
            <w:color w:val="0000FF"/>
            <w:sz w:val="24"/>
            <w:szCs w:val="24"/>
            <w:u w:val="single"/>
            <w:lang w:eastAsia="es-ES"/>
          </w:rPr>
          <w:t>[6]</w:t>
        </w:r>
      </w:hyperlink>
    </w:p>
    <w:p w:rsidR="000C6B70" w:rsidRPr="00C728D8" w:rsidRDefault="000C6B70" w:rsidP="00C728D8">
      <w:pPr>
        <w:spacing w:before="100" w:beforeAutospacing="1" w:after="100" w:afterAutospacing="1" w:line="240" w:lineRule="auto"/>
        <w:jc w:val="both"/>
        <w:rPr>
          <w:rFonts w:ascii="Arial" w:eastAsia="Times New Roman" w:hAnsi="Arial" w:cs="Arial"/>
          <w:sz w:val="24"/>
          <w:szCs w:val="24"/>
          <w:lang w:eastAsia="es-ES"/>
        </w:rPr>
      </w:pPr>
      <w:r w:rsidRPr="00C728D8">
        <w:rPr>
          <w:rFonts w:ascii="Arial" w:eastAsia="Times New Roman" w:hAnsi="Arial" w:cs="Arial"/>
          <w:sz w:val="24"/>
          <w:szCs w:val="24"/>
          <w:lang w:eastAsia="es-ES"/>
        </w:rPr>
        <w:t xml:space="preserve">Así era el hombre que va a la guerra. Con acierto </w:t>
      </w:r>
      <w:hyperlink r:id="rId12" w:tgtFrame="_blank" w:tooltip="Mary Cruz" w:history="1">
        <w:r w:rsidRPr="00F35053">
          <w:rPr>
            <w:rFonts w:ascii="Arial" w:eastAsia="Times New Roman" w:hAnsi="Arial" w:cs="Arial"/>
            <w:sz w:val="24"/>
            <w:szCs w:val="24"/>
            <w:lang w:eastAsia="es-ES"/>
          </w:rPr>
          <w:t>Mary Cruz</w:t>
        </w:r>
      </w:hyperlink>
      <w:r w:rsidRPr="00C728D8">
        <w:rPr>
          <w:rFonts w:ascii="Arial" w:eastAsia="Times New Roman" w:hAnsi="Arial" w:cs="Arial"/>
          <w:sz w:val="24"/>
          <w:szCs w:val="24"/>
          <w:lang w:eastAsia="es-ES"/>
        </w:rPr>
        <w:t xml:space="preserve"> escribió que El Mayor en la contienda:</w:t>
      </w:r>
    </w:p>
    <w:p w:rsidR="000C6B70" w:rsidRPr="00C728D8" w:rsidRDefault="000C6B70" w:rsidP="00C728D8">
      <w:pPr>
        <w:spacing w:before="100" w:beforeAutospacing="1" w:after="100" w:afterAutospacing="1" w:line="240" w:lineRule="auto"/>
        <w:jc w:val="both"/>
        <w:rPr>
          <w:rFonts w:ascii="Arial" w:eastAsia="Times New Roman" w:hAnsi="Arial" w:cs="Arial"/>
          <w:sz w:val="24"/>
          <w:szCs w:val="24"/>
          <w:lang w:eastAsia="es-ES"/>
        </w:rPr>
      </w:pPr>
      <w:r w:rsidRPr="00C728D8">
        <w:rPr>
          <w:rFonts w:ascii="Arial" w:eastAsia="Times New Roman" w:hAnsi="Arial" w:cs="Arial"/>
          <w:i/>
          <w:iCs/>
          <w:sz w:val="24"/>
          <w:szCs w:val="24"/>
          <w:lang w:eastAsia="es-ES"/>
        </w:rPr>
        <w:t>Va a chocar contra personalidades tan fuertes como la suya —aunque quizás no tan puras—, y va a vencer, venciéndose a sí propio en lo que de negativo o egoísta ha tenido.</w:t>
      </w:r>
      <w:r w:rsidR="00F35053">
        <w:rPr>
          <w:rFonts w:ascii="Arial" w:eastAsia="Times New Roman" w:hAnsi="Arial" w:cs="Arial"/>
          <w:sz w:val="24"/>
          <w:szCs w:val="24"/>
          <w:lang w:eastAsia="es-ES"/>
        </w:rPr>
        <w:t xml:space="preserve"> </w:t>
      </w:r>
      <w:r w:rsidRPr="00C728D8">
        <w:rPr>
          <w:rFonts w:ascii="Arial" w:eastAsia="Times New Roman" w:hAnsi="Arial" w:cs="Arial"/>
          <w:i/>
          <w:iCs/>
          <w:sz w:val="24"/>
          <w:szCs w:val="24"/>
          <w:lang w:eastAsia="es-ES"/>
        </w:rPr>
        <w:t>Descubrirá en su personalidad cualidades insospechadas, y será capaz de estructurar un Estado en la manigua, y de transformarse en soldado y hacer de hombres apocados un ejército.</w:t>
      </w:r>
      <w:hyperlink r:id="rId13" w:anchor="cita7" w:tgtFrame="_blank" w:history="1">
        <w:r w:rsidRPr="00C728D8">
          <w:rPr>
            <w:rFonts w:ascii="Arial" w:eastAsia="Times New Roman" w:hAnsi="Arial" w:cs="Arial"/>
            <w:i/>
            <w:iCs/>
            <w:color w:val="0000FF"/>
            <w:sz w:val="24"/>
            <w:szCs w:val="24"/>
            <w:u w:val="single"/>
            <w:lang w:eastAsia="es-ES"/>
          </w:rPr>
          <w:t>[7]</w:t>
        </w:r>
      </w:hyperlink>
    </w:p>
    <w:p w:rsidR="000C6B70" w:rsidRPr="00C728D8" w:rsidRDefault="000C6B70" w:rsidP="00C728D8">
      <w:pPr>
        <w:spacing w:before="100" w:beforeAutospacing="1" w:after="100" w:afterAutospacing="1" w:line="240" w:lineRule="auto"/>
        <w:jc w:val="both"/>
        <w:rPr>
          <w:rFonts w:ascii="Arial" w:eastAsia="Times New Roman" w:hAnsi="Arial" w:cs="Arial"/>
          <w:sz w:val="24"/>
          <w:szCs w:val="24"/>
          <w:lang w:eastAsia="es-ES"/>
        </w:rPr>
      </w:pPr>
      <w:r w:rsidRPr="00C728D8">
        <w:rPr>
          <w:rFonts w:ascii="Arial" w:eastAsia="Times New Roman" w:hAnsi="Arial" w:cs="Arial"/>
          <w:sz w:val="24"/>
          <w:szCs w:val="24"/>
          <w:lang w:eastAsia="es-ES"/>
        </w:rPr>
        <w:t>Hago estas precisiones porque estimo son importantes para aquilatar el complejo proceso de formación del gran jefe militar que llegó a ser y en el cual tuvo que moldear rasgos de su personalidad, de un modo que en otras circunstancias tal vez no hubiera sido necesario. A veces la frecuencia del empleo de una frase nos distancia su significado, como pudiera ser el caso de la hermosa imagen martiana de que Ignacio Agramonte era un “diamante con alma de beso”.</w:t>
      </w:r>
    </w:p>
    <w:p w:rsidR="000C6B70" w:rsidRPr="00C728D8" w:rsidRDefault="000C6B70" w:rsidP="00C728D8">
      <w:pPr>
        <w:spacing w:before="100" w:beforeAutospacing="1" w:after="100" w:afterAutospacing="1" w:line="240" w:lineRule="auto"/>
        <w:jc w:val="both"/>
        <w:rPr>
          <w:rFonts w:ascii="Arial" w:eastAsia="Times New Roman" w:hAnsi="Arial" w:cs="Arial"/>
          <w:sz w:val="24"/>
          <w:szCs w:val="24"/>
          <w:lang w:eastAsia="es-ES"/>
        </w:rPr>
      </w:pPr>
      <w:r w:rsidRPr="00C728D8">
        <w:rPr>
          <w:rFonts w:ascii="Arial" w:eastAsia="Times New Roman" w:hAnsi="Arial" w:cs="Arial"/>
          <w:sz w:val="24"/>
          <w:szCs w:val="24"/>
          <w:lang w:eastAsia="es-ES"/>
        </w:rPr>
        <w:lastRenderedPageBreak/>
        <w:t xml:space="preserve">En la carta de despedida que </w:t>
      </w:r>
      <w:hyperlink r:id="rId14" w:tgtFrame="_blank" w:tooltip="Manuel de Quesada" w:history="1">
        <w:r w:rsidRPr="00F35053">
          <w:rPr>
            <w:rFonts w:ascii="Arial" w:eastAsia="Times New Roman" w:hAnsi="Arial" w:cs="Arial"/>
            <w:sz w:val="24"/>
            <w:szCs w:val="24"/>
            <w:lang w:eastAsia="es-ES"/>
          </w:rPr>
          <w:t>Manuel de Quesada</w:t>
        </w:r>
      </w:hyperlink>
      <w:r w:rsidRPr="00C728D8">
        <w:rPr>
          <w:rFonts w:ascii="Arial" w:eastAsia="Times New Roman" w:hAnsi="Arial" w:cs="Arial"/>
          <w:sz w:val="24"/>
          <w:szCs w:val="24"/>
          <w:lang w:eastAsia="es-ES"/>
        </w:rPr>
        <w:t xml:space="preserve"> le escribiera el 20 de enero de 1870, este le hizo una verdadera profesión de fe:</w:t>
      </w:r>
    </w:p>
    <w:p w:rsidR="000C6B70" w:rsidRPr="00C728D8" w:rsidRDefault="000C6B70" w:rsidP="00C728D8">
      <w:pPr>
        <w:spacing w:before="100" w:beforeAutospacing="1" w:after="100" w:afterAutospacing="1" w:line="240" w:lineRule="auto"/>
        <w:jc w:val="both"/>
        <w:rPr>
          <w:rFonts w:ascii="Arial" w:eastAsia="Times New Roman" w:hAnsi="Arial" w:cs="Arial"/>
          <w:sz w:val="24"/>
          <w:szCs w:val="24"/>
          <w:lang w:eastAsia="es-ES"/>
        </w:rPr>
      </w:pPr>
      <w:r w:rsidRPr="00C728D8">
        <w:rPr>
          <w:rFonts w:ascii="Arial" w:eastAsia="Times New Roman" w:hAnsi="Arial" w:cs="Arial"/>
          <w:i/>
          <w:iCs/>
          <w:sz w:val="24"/>
          <w:szCs w:val="24"/>
          <w:lang w:eastAsia="es-ES"/>
        </w:rPr>
        <w:t xml:space="preserve">La etapa que comienza a recorrer la </w:t>
      </w:r>
      <w:r w:rsidR="00DF56CB" w:rsidRPr="00C728D8">
        <w:rPr>
          <w:rFonts w:ascii="Arial" w:eastAsia="Times New Roman" w:hAnsi="Arial" w:cs="Arial"/>
          <w:i/>
          <w:iCs/>
          <w:sz w:val="24"/>
          <w:szCs w:val="24"/>
          <w:lang w:eastAsia="es-ES"/>
        </w:rPr>
        <w:t>Revolución</w:t>
      </w:r>
      <w:r w:rsidRPr="00C728D8">
        <w:rPr>
          <w:rFonts w:ascii="Arial" w:eastAsia="Times New Roman" w:hAnsi="Arial" w:cs="Arial"/>
          <w:i/>
          <w:iCs/>
          <w:sz w:val="24"/>
          <w:szCs w:val="24"/>
          <w:lang w:eastAsia="es-ES"/>
        </w:rPr>
        <w:t xml:space="preserve">, será difícil; sea U. constante y firme como hasta aquí. Calme U. las pasiones adonde quiera que las vea </w:t>
      </w:r>
      <w:r w:rsidR="00DF56CB" w:rsidRPr="00C728D8">
        <w:rPr>
          <w:rFonts w:ascii="Arial" w:eastAsia="Times New Roman" w:hAnsi="Arial" w:cs="Arial"/>
          <w:i/>
          <w:iCs/>
          <w:sz w:val="24"/>
          <w:szCs w:val="24"/>
          <w:lang w:eastAsia="es-ES"/>
        </w:rPr>
        <w:t>surgir</w:t>
      </w:r>
      <w:r w:rsidRPr="00C728D8">
        <w:rPr>
          <w:rFonts w:ascii="Arial" w:eastAsia="Times New Roman" w:hAnsi="Arial" w:cs="Arial"/>
          <w:i/>
          <w:iCs/>
          <w:sz w:val="24"/>
          <w:szCs w:val="24"/>
          <w:lang w:eastAsia="es-ES"/>
        </w:rPr>
        <w:t xml:space="preserve">, y propenda a la </w:t>
      </w:r>
      <w:r w:rsidR="00DF56CB" w:rsidRPr="00C728D8">
        <w:rPr>
          <w:rFonts w:ascii="Arial" w:eastAsia="Times New Roman" w:hAnsi="Arial" w:cs="Arial"/>
          <w:i/>
          <w:iCs/>
          <w:sz w:val="24"/>
          <w:szCs w:val="24"/>
          <w:lang w:eastAsia="es-ES"/>
        </w:rPr>
        <w:t>unión</w:t>
      </w:r>
      <w:r w:rsidRPr="00C728D8">
        <w:rPr>
          <w:rFonts w:ascii="Arial" w:eastAsia="Times New Roman" w:hAnsi="Arial" w:cs="Arial"/>
          <w:i/>
          <w:iCs/>
          <w:sz w:val="24"/>
          <w:szCs w:val="24"/>
          <w:lang w:eastAsia="es-ES"/>
        </w:rPr>
        <w:t xml:space="preserve"> de todos los cubanos, </w:t>
      </w:r>
      <w:r w:rsidR="00DF56CB" w:rsidRPr="00C728D8">
        <w:rPr>
          <w:rFonts w:ascii="Arial" w:eastAsia="Times New Roman" w:hAnsi="Arial" w:cs="Arial"/>
          <w:i/>
          <w:iCs/>
          <w:sz w:val="24"/>
          <w:szCs w:val="24"/>
          <w:lang w:eastAsia="es-ES"/>
        </w:rPr>
        <w:t>único</w:t>
      </w:r>
      <w:r w:rsidRPr="00C728D8">
        <w:rPr>
          <w:rFonts w:ascii="Arial" w:eastAsia="Times New Roman" w:hAnsi="Arial" w:cs="Arial"/>
          <w:i/>
          <w:iCs/>
          <w:sz w:val="24"/>
          <w:szCs w:val="24"/>
          <w:lang w:eastAsia="es-ES"/>
        </w:rPr>
        <w:t xml:space="preserve"> medio de vencer a un enemigo que ha sabido unirse para combatirnos. En fin, amigo </w:t>
      </w:r>
      <w:r w:rsidR="00DF56CB" w:rsidRPr="00C728D8">
        <w:rPr>
          <w:rFonts w:ascii="Arial" w:eastAsia="Times New Roman" w:hAnsi="Arial" w:cs="Arial"/>
          <w:i/>
          <w:iCs/>
          <w:sz w:val="24"/>
          <w:szCs w:val="24"/>
          <w:lang w:eastAsia="es-ES"/>
        </w:rPr>
        <w:t>mío</w:t>
      </w:r>
      <w:r w:rsidRPr="00C728D8">
        <w:rPr>
          <w:rFonts w:ascii="Arial" w:eastAsia="Times New Roman" w:hAnsi="Arial" w:cs="Arial"/>
          <w:i/>
          <w:iCs/>
          <w:sz w:val="24"/>
          <w:szCs w:val="24"/>
          <w:lang w:eastAsia="es-ES"/>
        </w:rPr>
        <w:t xml:space="preserve">, siga U. siendo el modelo de los jóvenes y la </w:t>
      </w:r>
      <w:r w:rsidR="00DF56CB" w:rsidRPr="00C728D8">
        <w:rPr>
          <w:rFonts w:ascii="Arial" w:eastAsia="Times New Roman" w:hAnsi="Arial" w:cs="Arial"/>
          <w:i/>
          <w:iCs/>
          <w:sz w:val="24"/>
          <w:szCs w:val="24"/>
          <w:lang w:eastAsia="es-ES"/>
        </w:rPr>
        <w:t>admiración</w:t>
      </w:r>
      <w:bookmarkStart w:id="0" w:name="_GoBack"/>
      <w:bookmarkEnd w:id="0"/>
      <w:r w:rsidRPr="00C728D8">
        <w:rPr>
          <w:rFonts w:ascii="Arial" w:eastAsia="Times New Roman" w:hAnsi="Arial" w:cs="Arial"/>
          <w:i/>
          <w:iCs/>
          <w:sz w:val="24"/>
          <w:szCs w:val="24"/>
          <w:lang w:eastAsia="es-ES"/>
        </w:rPr>
        <w:t xml:space="preserve"> de los viejos, y no dude que llegará a adquirir un nombre preclaro […] </w:t>
      </w:r>
      <w:hyperlink r:id="rId15" w:anchor="cita8" w:tgtFrame="_blank" w:history="1">
        <w:r w:rsidRPr="00C728D8">
          <w:rPr>
            <w:rFonts w:ascii="Arial" w:eastAsia="Times New Roman" w:hAnsi="Arial" w:cs="Arial"/>
            <w:i/>
            <w:iCs/>
            <w:color w:val="0000FF"/>
            <w:sz w:val="24"/>
            <w:szCs w:val="24"/>
            <w:u w:val="single"/>
            <w:lang w:eastAsia="es-ES"/>
          </w:rPr>
          <w:t>[8]</w:t>
        </w:r>
      </w:hyperlink>
    </w:p>
    <w:p w:rsidR="000C6B70" w:rsidRPr="00C728D8" w:rsidRDefault="00F35053" w:rsidP="00C728D8">
      <w:pPr>
        <w:spacing w:before="100" w:beforeAutospacing="1" w:after="100" w:afterAutospacing="1" w:line="240" w:lineRule="auto"/>
        <w:jc w:val="both"/>
        <w:rPr>
          <w:rFonts w:ascii="Arial" w:eastAsia="Times New Roman" w:hAnsi="Arial" w:cs="Arial"/>
          <w:sz w:val="24"/>
          <w:szCs w:val="24"/>
          <w:lang w:eastAsia="es-ES"/>
        </w:rPr>
      </w:pPr>
      <w:bookmarkStart w:id="1" w:name="cita1"/>
      <w:bookmarkEnd w:id="1"/>
      <w:r w:rsidRPr="00C728D8">
        <w:rPr>
          <w:rFonts w:ascii="Arial" w:eastAsia="Times New Roman" w:hAnsi="Arial" w:cs="Arial"/>
          <w:sz w:val="24"/>
          <w:szCs w:val="24"/>
          <w:lang w:eastAsia="es-ES"/>
        </w:rPr>
        <w:t xml:space="preserve"> </w:t>
      </w:r>
      <w:r w:rsidR="000C6B70" w:rsidRPr="00C728D8">
        <w:rPr>
          <w:rFonts w:ascii="Arial" w:eastAsia="Times New Roman" w:hAnsi="Arial" w:cs="Arial"/>
          <w:sz w:val="24"/>
          <w:szCs w:val="24"/>
          <w:lang w:eastAsia="es-ES"/>
        </w:rPr>
        <w:t>[1] José Martí: “Céspedes y Agramonte” en sus Obras Completas, t. 4, Editorial de Ciencias Sociales, La Habana, 1975, p. 361.</w:t>
      </w:r>
    </w:p>
    <w:p w:rsidR="000C6B70" w:rsidRPr="00C728D8" w:rsidRDefault="000C6B70" w:rsidP="00C728D8">
      <w:pPr>
        <w:spacing w:before="100" w:beforeAutospacing="1" w:after="100" w:afterAutospacing="1" w:line="240" w:lineRule="auto"/>
        <w:jc w:val="both"/>
        <w:rPr>
          <w:rFonts w:ascii="Arial" w:eastAsia="Times New Roman" w:hAnsi="Arial" w:cs="Arial"/>
          <w:sz w:val="24"/>
          <w:szCs w:val="24"/>
          <w:lang w:eastAsia="es-ES"/>
        </w:rPr>
      </w:pPr>
      <w:bookmarkStart w:id="2" w:name="cita2"/>
      <w:bookmarkEnd w:id="2"/>
      <w:r w:rsidRPr="00C728D8">
        <w:rPr>
          <w:rFonts w:ascii="Arial" w:eastAsia="Times New Roman" w:hAnsi="Arial" w:cs="Arial"/>
          <w:sz w:val="24"/>
          <w:szCs w:val="24"/>
          <w:lang w:eastAsia="es-ES"/>
        </w:rPr>
        <w:t>[2] José Miguel Rueda y Ana Vera Estrada: “La sociedad y la familia en el Caribe”, Ana Vera Estrada (compiladora y redactora principal): Cuba, cuadernos sobre la familia, Editorial de Ciencias Sociales, La Habana, 1977, p. 5.</w:t>
      </w:r>
    </w:p>
    <w:p w:rsidR="000C6B70" w:rsidRPr="00C728D8" w:rsidRDefault="000C6B70" w:rsidP="00C728D8">
      <w:pPr>
        <w:spacing w:before="100" w:beforeAutospacing="1" w:after="100" w:afterAutospacing="1" w:line="240" w:lineRule="auto"/>
        <w:jc w:val="both"/>
        <w:rPr>
          <w:rFonts w:ascii="Arial" w:eastAsia="Times New Roman" w:hAnsi="Arial" w:cs="Arial"/>
          <w:sz w:val="24"/>
          <w:szCs w:val="24"/>
          <w:lang w:eastAsia="es-ES"/>
        </w:rPr>
      </w:pPr>
      <w:bookmarkStart w:id="3" w:name="cita3"/>
      <w:bookmarkEnd w:id="3"/>
      <w:r w:rsidRPr="00C728D8">
        <w:rPr>
          <w:rFonts w:ascii="Arial" w:eastAsia="Times New Roman" w:hAnsi="Arial" w:cs="Arial"/>
          <w:sz w:val="24"/>
          <w:szCs w:val="24"/>
          <w:lang w:eastAsia="es-ES"/>
        </w:rPr>
        <w:t>[3] Ramiro Guerra: Guerra de los Diez Años, t.1, Editorial de Ciencias Sociales, La Habana, 1972, p. 96.</w:t>
      </w:r>
    </w:p>
    <w:p w:rsidR="000C6B70" w:rsidRPr="00C728D8" w:rsidRDefault="000C6B70" w:rsidP="00C728D8">
      <w:pPr>
        <w:spacing w:before="100" w:beforeAutospacing="1" w:after="100" w:afterAutospacing="1" w:line="240" w:lineRule="auto"/>
        <w:jc w:val="both"/>
        <w:rPr>
          <w:rFonts w:ascii="Arial" w:eastAsia="Times New Roman" w:hAnsi="Arial" w:cs="Arial"/>
          <w:sz w:val="24"/>
          <w:szCs w:val="24"/>
          <w:lang w:eastAsia="es-ES"/>
        </w:rPr>
      </w:pPr>
      <w:bookmarkStart w:id="4" w:name="cita4"/>
      <w:bookmarkEnd w:id="4"/>
      <w:r w:rsidRPr="00C728D8">
        <w:rPr>
          <w:rFonts w:ascii="Arial" w:eastAsia="Times New Roman" w:hAnsi="Arial" w:cs="Arial"/>
          <w:sz w:val="24"/>
          <w:szCs w:val="24"/>
          <w:lang w:eastAsia="es-ES"/>
        </w:rPr>
        <w:t>[4] Aurelia Castillo: Ignacio Agramonte en la vida privada, Editora Política, La Habana, pp. 2 y 3.</w:t>
      </w:r>
    </w:p>
    <w:p w:rsidR="000C6B70" w:rsidRPr="00C728D8" w:rsidRDefault="000C6B70" w:rsidP="00C728D8">
      <w:pPr>
        <w:spacing w:before="100" w:beforeAutospacing="1" w:after="100" w:afterAutospacing="1" w:line="240" w:lineRule="auto"/>
        <w:jc w:val="both"/>
        <w:rPr>
          <w:rFonts w:ascii="Arial" w:eastAsia="Times New Roman" w:hAnsi="Arial" w:cs="Arial"/>
          <w:sz w:val="24"/>
          <w:szCs w:val="24"/>
          <w:lang w:eastAsia="es-ES"/>
        </w:rPr>
      </w:pPr>
      <w:bookmarkStart w:id="5" w:name="cita5"/>
      <w:bookmarkEnd w:id="5"/>
      <w:r w:rsidRPr="00C728D8">
        <w:rPr>
          <w:rFonts w:ascii="Arial" w:eastAsia="Times New Roman" w:hAnsi="Arial" w:cs="Arial"/>
          <w:sz w:val="24"/>
          <w:szCs w:val="24"/>
          <w:lang w:eastAsia="es-ES"/>
        </w:rPr>
        <w:t xml:space="preserve">[5] Ramón Roa: Ignacio Agramonte </w:t>
      </w:r>
      <w:proofErr w:type="spellStart"/>
      <w:r w:rsidRPr="00C728D8">
        <w:rPr>
          <w:rFonts w:ascii="Arial" w:eastAsia="Times New Roman" w:hAnsi="Arial" w:cs="Arial"/>
          <w:sz w:val="24"/>
          <w:szCs w:val="24"/>
          <w:lang w:eastAsia="es-ES"/>
        </w:rPr>
        <w:t>Loynaz</w:t>
      </w:r>
      <w:proofErr w:type="spellEnd"/>
      <w:r w:rsidRPr="00C728D8">
        <w:rPr>
          <w:rFonts w:ascii="Arial" w:eastAsia="Times New Roman" w:hAnsi="Arial" w:cs="Arial"/>
          <w:sz w:val="24"/>
          <w:szCs w:val="24"/>
          <w:lang w:eastAsia="es-ES"/>
        </w:rPr>
        <w:t xml:space="preserve">. Breves conceptos sobre su vida escritos con motivo de la inauguración de su estatua en la ciudad de Camagüey el 24 de febrero de 1912 (Editor Jorge </w:t>
      </w:r>
      <w:proofErr w:type="spellStart"/>
      <w:r w:rsidRPr="00C728D8">
        <w:rPr>
          <w:rFonts w:ascii="Arial" w:eastAsia="Times New Roman" w:hAnsi="Arial" w:cs="Arial"/>
          <w:sz w:val="24"/>
          <w:szCs w:val="24"/>
          <w:lang w:eastAsia="es-ES"/>
        </w:rPr>
        <w:t>Raa</w:t>
      </w:r>
      <w:proofErr w:type="spellEnd"/>
      <w:r w:rsidRPr="00C728D8">
        <w:rPr>
          <w:rFonts w:ascii="Arial" w:eastAsia="Times New Roman" w:hAnsi="Arial" w:cs="Arial"/>
          <w:sz w:val="24"/>
          <w:szCs w:val="24"/>
          <w:lang w:eastAsia="es-ES"/>
        </w:rPr>
        <w:t>, La Habana, 1912).</w:t>
      </w:r>
    </w:p>
    <w:p w:rsidR="000C6B70" w:rsidRPr="00C728D8" w:rsidRDefault="000C6B70" w:rsidP="00C728D8">
      <w:pPr>
        <w:spacing w:before="100" w:beforeAutospacing="1" w:after="100" w:afterAutospacing="1" w:line="240" w:lineRule="auto"/>
        <w:jc w:val="both"/>
        <w:rPr>
          <w:rFonts w:ascii="Arial" w:eastAsia="Times New Roman" w:hAnsi="Arial" w:cs="Arial"/>
          <w:sz w:val="24"/>
          <w:szCs w:val="24"/>
          <w:lang w:eastAsia="es-ES"/>
        </w:rPr>
      </w:pPr>
      <w:bookmarkStart w:id="6" w:name="cita6"/>
      <w:bookmarkEnd w:id="6"/>
      <w:r w:rsidRPr="00C728D8">
        <w:rPr>
          <w:rFonts w:ascii="Arial" w:eastAsia="Times New Roman" w:hAnsi="Arial" w:cs="Arial"/>
          <w:sz w:val="24"/>
          <w:szCs w:val="24"/>
          <w:lang w:eastAsia="es-ES"/>
        </w:rPr>
        <w:t>[6] José Martí: “Céspedes y Agramonte” en su Obras Completas, t. 4, Editorial de Ciencias Sociales, La Habana, 1972, p. 361</w:t>
      </w:r>
    </w:p>
    <w:p w:rsidR="000C6B70" w:rsidRPr="00C728D8" w:rsidRDefault="000C6B70" w:rsidP="00C728D8">
      <w:pPr>
        <w:spacing w:before="100" w:beforeAutospacing="1" w:after="100" w:afterAutospacing="1" w:line="240" w:lineRule="auto"/>
        <w:jc w:val="both"/>
        <w:rPr>
          <w:rFonts w:ascii="Arial" w:eastAsia="Times New Roman" w:hAnsi="Arial" w:cs="Arial"/>
          <w:sz w:val="24"/>
          <w:szCs w:val="24"/>
          <w:lang w:eastAsia="es-ES"/>
        </w:rPr>
      </w:pPr>
      <w:bookmarkStart w:id="7" w:name="cita7"/>
      <w:bookmarkEnd w:id="7"/>
      <w:r w:rsidRPr="00C728D8">
        <w:rPr>
          <w:rFonts w:ascii="Arial" w:eastAsia="Times New Roman" w:hAnsi="Arial" w:cs="Arial"/>
          <w:sz w:val="24"/>
          <w:szCs w:val="24"/>
          <w:lang w:eastAsia="es-ES"/>
        </w:rPr>
        <w:t>[7] Mary Cruz: El Mayor, Instituto Cubano del Libro, La Habana, 1972, p. 96.</w:t>
      </w:r>
    </w:p>
    <w:p w:rsidR="000C6B70" w:rsidRPr="00C728D8" w:rsidRDefault="000C6B70" w:rsidP="00C728D8">
      <w:pPr>
        <w:spacing w:before="100" w:beforeAutospacing="1" w:after="100" w:afterAutospacing="1" w:line="240" w:lineRule="auto"/>
        <w:jc w:val="both"/>
        <w:rPr>
          <w:rFonts w:ascii="Arial" w:eastAsia="Times New Roman" w:hAnsi="Arial" w:cs="Arial"/>
          <w:sz w:val="24"/>
          <w:szCs w:val="24"/>
          <w:lang w:eastAsia="es-ES"/>
        </w:rPr>
      </w:pPr>
      <w:bookmarkStart w:id="8" w:name="cita8"/>
      <w:bookmarkEnd w:id="8"/>
      <w:r w:rsidRPr="00C728D8">
        <w:rPr>
          <w:rFonts w:ascii="Arial" w:eastAsia="Times New Roman" w:hAnsi="Arial" w:cs="Arial"/>
          <w:sz w:val="24"/>
          <w:szCs w:val="24"/>
          <w:lang w:eastAsia="es-ES"/>
        </w:rPr>
        <w:t xml:space="preserve">[8] Carta de Manuel de Quesada a Ignacio Agramonte, San Juan de Dios, 20 de enero de 1870 en Elda </w:t>
      </w:r>
      <w:proofErr w:type="spellStart"/>
      <w:r w:rsidRPr="00C728D8">
        <w:rPr>
          <w:rFonts w:ascii="Arial" w:eastAsia="Times New Roman" w:hAnsi="Arial" w:cs="Arial"/>
          <w:sz w:val="24"/>
          <w:szCs w:val="24"/>
          <w:lang w:eastAsia="es-ES"/>
        </w:rPr>
        <w:t>Cento</w:t>
      </w:r>
      <w:proofErr w:type="spellEnd"/>
      <w:r w:rsidRPr="00C728D8">
        <w:rPr>
          <w:rFonts w:ascii="Arial" w:eastAsia="Times New Roman" w:hAnsi="Arial" w:cs="Arial"/>
          <w:sz w:val="24"/>
          <w:szCs w:val="24"/>
          <w:lang w:eastAsia="es-ES"/>
        </w:rPr>
        <w:t xml:space="preserve"> Gómez: De la primera embestida. Correspondencia de Ignacio Agramonte, noviembre de 1869-enero de 1871, Editorial de Ciencias Sociales, La Habana, 2014, p. 286.</w:t>
      </w:r>
    </w:p>
    <w:p w:rsidR="00E62425" w:rsidRPr="00C728D8" w:rsidRDefault="00DF56CB" w:rsidP="00C728D8">
      <w:pPr>
        <w:jc w:val="both"/>
        <w:rPr>
          <w:rFonts w:ascii="Arial" w:hAnsi="Arial" w:cs="Arial"/>
          <w:sz w:val="24"/>
          <w:szCs w:val="24"/>
        </w:rPr>
      </w:pPr>
      <w:hyperlink r:id="rId16" w:history="1">
        <w:r w:rsidR="000C6B70" w:rsidRPr="00C728D8">
          <w:rPr>
            <w:rStyle w:val="Hipervnculo"/>
            <w:rFonts w:ascii="Arial" w:hAnsi="Arial" w:cs="Arial"/>
            <w:sz w:val="24"/>
            <w:szCs w:val="24"/>
          </w:rPr>
          <w:t>http://www.cubadebate.cu/opinion/2016/05/06/ignacio-agramonte-hombre-que-va-a-la-guerra-elda-cento/</w:t>
        </w:r>
      </w:hyperlink>
      <w:r w:rsidR="000C6B70" w:rsidRPr="00C728D8">
        <w:rPr>
          <w:rFonts w:ascii="Arial" w:hAnsi="Arial" w:cs="Arial"/>
          <w:sz w:val="24"/>
          <w:szCs w:val="24"/>
        </w:rPr>
        <w:t xml:space="preserve"> </w:t>
      </w:r>
    </w:p>
    <w:sectPr w:rsidR="00E62425" w:rsidRPr="00C728D8"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5958"/>
    <w:rsid w:val="000C6B70"/>
    <w:rsid w:val="00135367"/>
    <w:rsid w:val="00135958"/>
    <w:rsid w:val="00202D6A"/>
    <w:rsid w:val="004A683E"/>
    <w:rsid w:val="00861F0B"/>
    <w:rsid w:val="00C728D8"/>
    <w:rsid w:val="00DF56CB"/>
    <w:rsid w:val="00E62425"/>
    <w:rsid w:val="00F3505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4CA08"/>
  <w15:chartTrackingRefBased/>
  <w15:docId w15:val="{49DA7DA6-CC04-4CB2-8D11-BA30EDDC1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C6B7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7005923">
      <w:bodyDiv w:val="1"/>
      <w:marLeft w:val="0"/>
      <w:marRight w:val="0"/>
      <w:marTop w:val="0"/>
      <w:marBottom w:val="0"/>
      <w:divBdr>
        <w:top w:val="none" w:sz="0" w:space="0" w:color="auto"/>
        <w:left w:val="none" w:sz="0" w:space="0" w:color="auto"/>
        <w:bottom w:val="none" w:sz="0" w:space="0" w:color="auto"/>
        <w:right w:val="none" w:sz="0" w:space="0" w:color="auto"/>
      </w:divBdr>
      <w:divsChild>
        <w:div w:id="1805152761">
          <w:marLeft w:val="0"/>
          <w:marRight w:val="0"/>
          <w:marTop w:val="0"/>
          <w:marBottom w:val="0"/>
          <w:divBdr>
            <w:top w:val="none" w:sz="0" w:space="0" w:color="auto"/>
            <w:left w:val="none" w:sz="0" w:space="0" w:color="auto"/>
            <w:bottom w:val="none" w:sz="0" w:space="0" w:color="auto"/>
            <w:right w:val="none" w:sz="0" w:space="0" w:color="auto"/>
          </w:divBdr>
          <w:divsChild>
            <w:div w:id="1507863472">
              <w:marLeft w:val="0"/>
              <w:marRight w:val="0"/>
              <w:marTop w:val="0"/>
              <w:marBottom w:val="0"/>
              <w:divBdr>
                <w:top w:val="none" w:sz="0" w:space="0" w:color="auto"/>
                <w:left w:val="none" w:sz="0" w:space="0" w:color="auto"/>
                <w:bottom w:val="none" w:sz="0" w:space="0" w:color="auto"/>
                <w:right w:val="none" w:sz="0" w:space="0" w:color="auto"/>
              </w:divBdr>
            </w:div>
            <w:div w:id="256401144">
              <w:marLeft w:val="0"/>
              <w:marRight w:val="0"/>
              <w:marTop w:val="0"/>
              <w:marBottom w:val="0"/>
              <w:divBdr>
                <w:top w:val="none" w:sz="0" w:space="0" w:color="auto"/>
                <w:left w:val="none" w:sz="0" w:space="0" w:color="auto"/>
                <w:bottom w:val="none" w:sz="0" w:space="0" w:color="auto"/>
                <w:right w:val="none" w:sz="0" w:space="0" w:color="auto"/>
              </w:divBdr>
            </w:div>
          </w:divsChild>
        </w:div>
        <w:div w:id="152450790">
          <w:marLeft w:val="0"/>
          <w:marRight w:val="0"/>
          <w:marTop w:val="0"/>
          <w:marBottom w:val="0"/>
          <w:divBdr>
            <w:top w:val="none" w:sz="0" w:space="0" w:color="auto"/>
            <w:left w:val="none" w:sz="0" w:space="0" w:color="auto"/>
            <w:bottom w:val="none" w:sz="0" w:space="0" w:color="auto"/>
            <w:right w:val="none" w:sz="0" w:space="0" w:color="auto"/>
          </w:divBdr>
        </w:div>
        <w:div w:id="815874415">
          <w:marLeft w:val="0"/>
          <w:marRight w:val="0"/>
          <w:marTop w:val="0"/>
          <w:marBottom w:val="0"/>
          <w:divBdr>
            <w:top w:val="none" w:sz="0" w:space="0" w:color="auto"/>
            <w:left w:val="none" w:sz="0" w:space="0" w:color="auto"/>
            <w:bottom w:val="none" w:sz="0" w:space="0" w:color="auto"/>
            <w:right w:val="none" w:sz="0" w:space="0" w:color="auto"/>
          </w:divBdr>
        </w:div>
        <w:div w:id="1600021734">
          <w:marLeft w:val="0"/>
          <w:marRight w:val="0"/>
          <w:marTop w:val="0"/>
          <w:marBottom w:val="0"/>
          <w:divBdr>
            <w:top w:val="none" w:sz="0" w:space="0" w:color="auto"/>
            <w:left w:val="none" w:sz="0" w:space="0" w:color="auto"/>
            <w:bottom w:val="none" w:sz="0" w:space="0" w:color="auto"/>
            <w:right w:val="none" w:sz="0" w:space="0" w:color="auto"/>
          </w:divBdr>
          <w:divsChild>
            <w:div w:id="379600179">
              <w:marLeft w:val="0"/>
              <w:marRight w:val="0"/>
              <w:marTop w:val="0"/>
              <w:marBottom w:val="0"/>
              <w:divBdr>
                <w:top w:val="none" w:sz="0" w:space="0" w:color="auto"/>
                <w:left w:val="none" w:sz="0" w:space="0" w:color="auto"/>
                <w:bottom w:val="none" w:sz="0" w:space="0" w:color="auto"/>
                <w:right w:val="none" w:sz="0" w:space="0" w:color="auto"/>
              </w:divBdr>
              <w:divsChild>
                <w:div w:id="1771580581">
                  <w:marLeft w:val="0"/>
                  <w:marRight w:val="0"/>
                  <w:marTop w:val="0"/>
                  <w:marBottom w:val="0"/>
                  <w:divBdr>
                    <w:top w:val="none" w:sz="0" w:space="0" w:color="auto"/>
                    <w:left w:val="none" w:sz="0" w:space="0" w:color="auto"/>
                    <w:bottom w:val="none" w:sz="0" w:space="0" w:color="auto"/>
                    <w:right w:val="none" w:sz="0" w:space="0" w:color="auto"/>
                  </w:divBdr>
                </w:div>
                <w:div w:id="157019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ured.cu/Aurelia_Castillo_de_Gonz%C3%A1lez" TargetMode="External"/><Relationship Id="rId13" Type="http://schemas.openxmlformats.org/officeDocument/2006/relationships/hyperlink" Target="http://www.cubadebate.cu/opinion/2016/05/06/ignacio-agramonte-hombre-que-va-a-la-guerra-elda-cento/"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cubadebate.cu/opinion/2016/05/06/ignacio-agramonte-hombre-que-va-a-la-guerra-elda-cento/" TargetMode="External"/><Relationship Id="rId12" Type="http://schemas.openxmlformats.org/officeDocument/2006/relationships/hyperlink" Target="http://www.ecured.cu/Mary_Cruz"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cubadebate.cu/opinion/2016/05/06/ignacio-agramonte-hombre-que-va-a-la-guerra-elda-cento/" TargetMode="External"/><Relationship Id="rId1" Type="http://schemas.openxmlformats.org/officeDocument/2006/relationships/styles" Target="styles.xml"/><Relationship Id="rId6" Type="http://schemas.openxmlformats.org/officeDocument/2006/relationships/hyperlink" Target="http://www.cubadebate.cu/opinion/2016/05/06/ignacio-agramonte-hombre-que-va-a-la-guerra-elda-cento/" TargetMode="External"/><Relationship Id="rId11" Type="http://schemas.openxmlformats.org/officeDocument/2006/relationships/hyperlink" Target="http://www.cubadebate.cu/opinion/2016/05/06/ignacio-agramonte-hombre-que-va-a-la-guerra-elda-cento/" TargetMode="External"/><Relationship Id="rId5" Type="http://schemas.openxmlformats.org/officeDocument/2006/relationships/hyperlink" Target="http://www.cubadebate.cu/opinion/2016/05/06/ignacio-agramonte-hombre-que-va-a-la-guerra-elda-cento/" TargetMode="External"/><Relationship Id="rId15" Type="http://schemas.openxmlformats.org/officeDocument/2006/relationships/hyperlink" Target="http://www.cubadebate.cu/opinion/2016/05/06/ignacio-agramonte-hombre-que-va-a-la-guerra-elda-cento/" TargetMode="External"/><Relationship Id="rId10" Type="http://schemas.openxmlformats.org/officeDocument/2006/relationships/hyperlink" Target="http://www.cubadebate.cu/opinion/2016/05/06/ignacio-agramonte-hombre-que-va-a-la-guerra-elda-cento/" TargetMode="External"/><Relationship Id="rId4" Type="http://schemas.openxmlformats.org/officeDocument/2006/relationships/hyperlink" Target="http://www.cubadebate.cu/autor/elda-cento-gomez/" TargetMode="External"/><Relationship Id="rId9" Type="http://schemas.openxmlformats.org/officeDocument/2006/relationships/hyperlink" Target="http://www.ecured.cu/Ram%C3%B3n_Roa_Travi_Era" TargetMode="External"/><Relationship Id="rId14" Type="http://schemas.openxmlformats.org/officeDocument/2006/relationships/hyperlink" Target="http://www.ecured.cu/Manuel_de_Quesada_y_Loynaz"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1472</Words>
  <Characters>8096</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Gilve</cp:lastModifiedBy>
  <cp:revision>8</cp:revision>
  <dcterms:created xsi:type="dcterms:W3CDTF">2021-03-19T15:35:00Z</dcterms:created>
  <dcterms:modified xsi:type="dcterms:W3CDTF">2020-03-13T13:57:00Z</dcterms:modified>
</cp:coreProperties>
</file>